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601AE8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Ректор, д.фил.н., профессор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</w:p>
                <w:p w:rsidR="005965BB" w:rsidRPr="00D52D23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_______________/А.Э. Еремеев</w:t>
                  </w:r>
                </w:p>
                <w:p w:rsidR="005965BB" w:rsidRPr="00A33EEB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25.03.2024 г.</w:t>
                  </w:r>
                </w:p>
                <w:p w:rsidR="00C64EE8" w:rsidRDefault="00C64EE8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64EE8" w:rsidRPr="00981C5E" w:rsidRDefault="00C64EE8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5965BB" w:rsidRPr="00D52D23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8</w:t>
                  </w:r>
                </w:p>
                <w:p w:rsidR="005965BB" w:rsidRPr="00A33EEB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</w:p>
                <w:p w:rsidR="00C64EE8" w:rsidRDefault="00C64EE8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64EE8" w:rsidRDefault="00C64EE8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C64EE8" w:rsidRDefault="00C64EE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C64EE8" w:rsidRDefault="00C64EE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5965BB" w:rsidRPr="00D52D23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 xml:space="preserve">Протокол № </w:t>
                  </w:r>
                  <w:r>
                    <w:rPr>
                      <w:sz w:val="22"/>
                    </w:rPr>
                    <w:t>4</w:t>
                  </w:r>
                </w:p>
                <w:p w:rsidR="005965BB" w:rsidRPr="00A33EEB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C64EE8" w:rsidRPr="00326CD8" w:rsidRDefault="00C64EE8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r w:rsidRPr="00981C5E">
        <w:rPr>
          <w:caps/>
          <w:sz w:val="24"/>
          <w:szCs w:val="24"/>
        </w:rPr>
        <w:t>ОсновнОЙ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64EE8" w:rsidRPr="00C64EE8">
        <w:rPr>
          <w:rFonts w:eastAsia="Courier New"/>
          <w:sz w:val="28"/>
          <w:szCs w:val="28"/>
          <w:lang w:bidi="ru-RU"/>
        </w:rPr>
        <w:t>Математическое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601AE8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5965BB">
        <w:rPr>
          <w:sz w:val="28"/>
          <w:szCs w:val="28"/>
        </w:rPr>
        <w:t>4</w:t>
      </w:r>
    </w:p>
    <w:p w:rsidR="005965BB" w:rsidRPr="001C5E90" w:rsidRDefault="000B42DC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C64EE8" w:rsidRPr="00C64EE8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5965BB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5965BB" w:rsidRPr="001C5E90" w:rsidRDefault="005965BB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965BB" w:rsidRPr="001C5E90" w:rsidRDefault="005965BB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965BB" w:rsidRPr="001C5E90" w:rsidRDefault="005965BB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E7380E" w:rsidRPr="00981C5E" w:rsidRDefault="00E7380E" w:rsidP="005965BB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r w:rsidR="00F45D02" w:rsidRPr="00981C5E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ВО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>; 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5965BB" w:rsidRPr="00D265D0" w:rsidRDefault="005965BB" w:rsidP="005965B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5965BB" w:rsidRPr="00D265D0" w:rsidRDefault="005965BB" w:rsidP="005965BB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Pr="00D265D0">
        <w:rPr>
          <w:rStyle w:val="fontstyle01"/>
          <w:rFonts w:ascii="Times New Roman" w:hAnsi="Times New Roman"/>
          <w:sz w:val="24"/>
          <w:szCs w:val="24"/>
        </w:rPr>
        <w:t xml:space="preserve">от 22 февраля 2018 года № </w:t>
      </w:r>
      <w:r w:rsidRPr="00D52D23">
        <w:rPr>
          <w:rStyle w:val="fontstyle01"/>
          <w:rFonts w:ascii="Times New Roman" w:hAnsi="Times New Roman"/>
          <w:sz w:val="24"/>
          <w:szCs w:val="24"/>
        </w:rPr>
        <w:t>(Зарегистрировано в Минюсте России 15.03.2018 N 50362)</w:t>
      </w:r>
      <w:r w:rsidRPr="00D265D0">
        <w:rPr>
          <w:rFonts w:ascii="Times New Roman" w:hAnsi="Times New Roman"/>
          <w:sz w:val="24"/>
          <w:szCs w:val="24"/>
        </w:rPr>
        <w:t>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2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601AE8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5965BB" w:rsidP="005965BB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52D23">
        <w:rPr>
          <w:sz w:val="24"/>
          <w:szCs w:val="24"/>
        </w:rPr>
        <w:t xml:space="preserve">Профессиональные стандарты, </w:t>
      </w:r>
      <w:r w:rsidRPr="00D52D23">
        <w:rPr>
          <w:rStyle w:val="extendedtext-full"/>
          <w:bCs/>
          <w:sz w:val="24"/>
          <w:szCs w:val="24"/>
        </w:rPr>
        <w:t>Справочник</w:t>
      </w:r>
      <w:r w:rsidRPr="00D52D23">
        <w:rPr>
          <w:rStyle w:val="extendedtext-full"/>
          <w:sz w:val="24"/>
          <w:szCs w:val="24"/>
        </w:rPr>
        <w:t xml:space="preserve"> квалификационных </w:t>
      </w:r>
      <w:r w:rsidRPr="00D52D23">
        <w:rPr>
          <w:rStyle w:val="extendedtext-full"/>
          <w:bCs/>
          <w:sz w:val="24"/>
          <w:szCs w:val="24"/>
        </w:rPr>
        <w:t>требований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к</w:t>
      </w:r>
      <w:r w:rsidRPr="00D52D23">
        <w:rPr>
          <w:rStyle w:val="extendedtext-full"/>
          <w:sz w:val="24"/>
          <w:szCs w:val="24"/>
        </w:rPr>
        <w:t xml:space="preserve"> претендентам на замещение должностей </w:t>
      </w:r>
      <w:r w:rsidRPr="00D52D23">
        <w:rPr>
          <w:rStyle w:val="extendedtext-full"/>
          <w:bCs/>
          <w:sz w:val="24"/>
          <w:szCs w:val="24"/>
        </w:rPr>
        <w:t>государственной</w:t>
      </w:r>
      <w:r w:rsidRPr="00D52D23">
        <w:rPr>
          <w:rStyle w:val="extendedtext-full"/>
          <w:sz w:val="24"/>
          <w:szCs w:val="24"/>
        </w:rPr>
        <w:t xml:space="preserve"> гражданской службы и </w:t>
      </w:r>
      <w:r w:rsidRPr="00D52D23">
        <w:rPr>
          <w:rStyle w:val="extendedtext-full"/>
          <w:bCs/>
          <w:sz w:val="24"/>
          <w:szCs w:val="24"/>
        </w:rPr>
        <w:t>государственным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гражданским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служащим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r w:rsidR="00D2246A" w:rsidRPr="00981C5E">
        <w:rPr>
          <w:sz w:val="24"/>
          <w:szCs w:val="24"/>
        </w:rPr>
        <w:t xml:space="preserve">очно-заочная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>ной или заочной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>Области и</w:t>
      </w:r>
      <w:r w:rsidR="00D366CE" w:rsidRPr="00981C5E">
        <w:rPr>
          <w:b/>
          <w:sz w:val="24"/>
          <w:szCs w:val="24"/>
        </w:rPr>
        <w:t>(</w:t>
      </w:r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C64EE8" w:rsidRPr="00C64EE8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которая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на: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B237EF" w:rsidRDefault="00C719E7" w:rsidP="00A941E9">
      <w:pPr>
        <w:ind w:firstLine="720"/>
        <w:jc w:val="both"/>
        <w:rPr>
          <w:sz w:val="24"/>
          <w:szCs w:val="24"/>
        </w:rPr>
      </w:pPr>
      <w:r w:rsidRPr="00B237EF">
        <w:rPr>
          <w:color w:val="000000"/>
          <w:sz w:val="24"/>
          <w:szCs w:val="24"/>
        </w:rPr>
        <w:t>01 Образование и наука.</w:t>
      </w:r>
      <w:r w:rsidRPr="00B237EF">
        <w:rPr>
          <w:sz w:val="24"/>
          <w:szCs w:val="24"/>
        </w:rPr>
        <w:t xml:space="preserve"> </w:t>
      </w:r>
    </w:p>
    <w:p w:rsidR="001575CC" w:rsidRPr="00B237EF" w:rsidRDefault="001575CC" w:rsidP="00B237EF">
      <w:pPr>
        <w:ind w:firstLine="720"/>
        <w:jc w:val="both"/>
        <w:rPr>
          <w:color w:val="000000" w:themeColor="text1"/>
          <w:sz w:val="24"/>
          <w:szCs w:val="24"/>
        </w:rPr>
      </w:pPr>
      <w:r w:rsidRPr="00B237EF">
        <w:rPr>
          <w:color w:val="000000" w:themeColor="text1"/>
          <w:sz w:val="24"/>
          <w:szCs w:val="24"/>
        </w:rPr>
        <w:t>01.001 Педагог (педагогическая деятельность в сфере дошкольного, начального общего, основного общего, среднего общего образ</w:t>
      </w:r>
      <w:r w:rsidR="00B237EF" w:rsidRPr="00B237EF">
        <w:rPr>
          <w:color w:val="000000" w:themeColor="text1"/>
          <w:sz w:val="24"/>
          <w:szCs w:val="24"/>
        </w:rPr>
        <w:t>ования) (воспитатель, учитель).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lastRenderedPageBreak/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 xml:space="preserve">обучающихся с </w:t>
      </w:r>
      <w:r w:rsidRPr="00981C5E">
        <w:rPr>
          <w:sz w:val="24"/>
          <w:szCs w:val="24"/>
        </w:rPr>
        <w:lastRenderedPageBreak/>
        <w:t>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1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966F9E" w:rsidRPr="00966F9E">
        <w:t xml:space="preserve"> </w:t>
      </w:r>
      <w:r w:rsidR="00966F9E" w:rsidRPr="00966F9E">
        <w:rPr>
          <w:sz w:val="24"/>
          <w:szCs w:val="24"/>
        </w:rPr>
        <w:t>Производственная (педагогическая) практика 2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практика (научно-исследовательская работа)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3</w:t>
      </w:r>
    </w:p>
    <w:p w:rsidR="00966F9E" w:rsidRPr="00981C5E" w:rsidRDefault="00966F9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Производственная (педагогическая) практика 4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(преддипломная)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</w:t>
      </w:r>
      <w:r w:rsidRPr="00981C5E">
        <w:rPr>
          <w:sz w:val="24"/>
          <w:szCs w:val="24"/>
        </w:rPr>
        <w:lastRenderedPageBreak/>
        <w:t>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обучающимся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966F9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28732D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28732D" w:rsidRPr="00981C5E">
        <w:rPr>
          <w:iCs/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Pr="00981C5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Обучение служением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 xml:space="preserve">владеть  навыком аргументированного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собственного суждения и оценки информации, принятия обоснованного решения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966F9E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96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C64EE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66F9E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ожидаемых результатов решения поставленных задач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966F9E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214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иностранном(ых) языке(ах</w:t>
            </w:r>
            <w:r w:rsid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D7" w:rsidRPr="00D8502C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D8502C">
              <w:rPr>
                <w:rFonts w:ascii="Times New Roman" w:hAnsi="Times New Roman"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интеграции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8502C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8C41B8" w:rsidRPr="00D8502C" w:rsidRDefault="00DD79DE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D8502C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в области физической культуры личности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ческого, политического и военно-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технического развития стран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УК-8.18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75D8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575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УК-9.5.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использования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lastRenderedPageBreak/>
              <w:t>основных положений и методов экономических наук при решении социальных и профессиональных задач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981C5E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981C5E">
              <w:rPr>
                <w:rFonts w:ascii="Times New Roman" w:hAnsi="Times New Roman"/>
              </w:rPr>
              <w:t xml:space="preserve">УК-10. </w:t>
            </w:r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981C5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981C5E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коррупции, экстремизма, тер</w:t>
            </w:r>
            <w:r w:rsidR="00575D86">
              <w:rPr>
                <w:rFonts w:ascii="Times New Roman" w:hAnsi="Times New Roman"/>
                <w:sz w:val="24"/>
                <w:szCs w:val="24"/>
              </w:rPr>
              <w:t>р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оризма и способы формирования нетерпимого отношения к ним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экстремизму и терроризму в профессиональной деятельности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251A9E" w:rsidRDefault="00F87859" w:rsidP="00F329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251A9E" w:rsidRDefault="00F87859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управлять учебными группами с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целью вовлечения обучающихся в процесс обучения и воспитания, оказывать помощь и поддержку в организации деятельности ученических органов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педагогического сопровождения социализации и профессионального самоопределения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51A9E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технологии (в том числе инклюзивные) с учетом различного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контингента обучающихся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594080" w:rsidRPr="00251A9E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AA6696"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AA6696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C64EE8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 когнитивной и личностной сфер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AA6696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понимать принципы работы современных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ОПК-9.1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уметь осуществлять выбор оптимальных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601AE8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проектировать план-конспект/технологическую карту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1C5E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навыком формирования познавательной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мотивации обучающихся к предмету в рамках урочной и внеурочной деятельности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AA6696">
              <w:rPr>
                <w:rFonts w:ascii="Times New Roman" w:hAnsi="Times New Roman" w:cs="Times New Roman"/>
              </w:rPr>
              <w:t>.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</w:rPr>
              <w:t>знать 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sz w:val="24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AA6696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AA6696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lastRenderedPageBreak/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601AE8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01AE8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r w:rsidRPr="00981C5E">
        <w:rPr>
          <w:iCs/>
          <w:sz w:val="24"/>
          <w:szCs w:val="24"/>
        </w:rPr>
        <w:lastRenderedPageBreak/>
        <w:t>ВО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A66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</w:t>
      </w:r>
      <w:r w:rsidRPr="00981C5E">
        <w:rPr>
          <w:sz w:val="24"/>
          <w:szCs w:val="24"/>
        </w:rPr>
        <w:lastRenderedPageBreak/>
        <w:t>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B237E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0F3D08">
              <w:rPr>
                <w:sz w:val="24"/>
              </w:rPr>
              <w:t>01 Образование</w:t>
            </w:r>
          </w:p>
        </w:tc>
      </w:tr>
      <w:tr w:rsidR="006846E8" w:rsidRPr="00B237E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0F3D08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0F3D08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Профессиональный стандарт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B237E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420F22">
      <w:footerReference w:type="default" r:id="rId15"/>
      <w:pgSz w:w="11909" w:h="16834"/>
      <w:pgMar w:top="1134" w:right="99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6F2" w:rsidRDefault="002266F2" w:rsidP="00E2030F">
      <w:r>
        <w:separator/>
      </w:r>
    </w:p>
  </w:endnote>
  <w:endnote w:type="continuationSeparator" w:id="0">
    <w:p w:rsidR="002266F2" w:rsidRDefault="002266F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EE8" w:rsidRDefault="00601AE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5BB">
      <w:rPr>
        <w:noProof/>
      </w:rPr>
      <w:t>2</w:t>
    </w:r>
    <w:r>
      <w:rPr>
        <w:noProof/>
      </w:rPr>
      <w:fldChar w:fldCharType="end"/>
    </w:r>
  </w:p>
  <w:p w:rsidR="00C64EE8" w:rsidRDefault="00C64E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6F2" w:rsidRDefault="002266F2" w:rsidP="00E2030F">
      <w:r>
        <w:separator/>
      </w:r>
    </w:p>
  </w:footnote>
  <w:footnote w:type="continuationSeparator" w:id="0">
    <w:p w:rsidR="002266F2" w:rsidRDefault="002266F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D08"/>
    <w:rsid w:val="000F3F11"/>
    <w:rsid w:val="000F3FEF"/>
    <w:rsid w:val="000F5845"/>
    <w:rsid w:val="0010601D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266F2"/>
    <w:rsid w:val="00230975"/>
    <w:rsid w:val="00230D8E"/>
    <w:rsid w:val="00230DC5"/>
    <w:rsid w:val="00233BA2"/>
    <w:rsid w:val="00242150"/>
    <w:rsid w:val="002454C4"/>
    <w:rsid w:val="00245F1E"/>
    <w:rsid w:val="00251A9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97CD8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20F22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5D86"/>
    <w:rsid w:val="00576397"/>
    <w:rsid w:val="005838C9"/>
    <w:rsid w:val="00583B2C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965BB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1AE8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85AB2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199C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6F9E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E7F8C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A6696"/>
    <w:rsid w:val="00AB519B"/>
    <w:rsid w:val="00AB6367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23E0"/>
    <w:rsid w:val="00B142F9"/>
    <w:rsid w:val="00B15104"/>
    <w:rsid w:val="00B23556"/>
    <w:rsid w:val="00B237EF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C7A7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4EE8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8502C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3D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  <w:style w:type="character" w:customStyle="1" w:styleId="extendedtext-full">
    <w:name w:val="extendedtext-full"/>
    <w:basedOn w:val="a0"/>
    <w:rsid w:val="005965BB"/>
  </w:style>
  <w:style w:type="character" w:styleId="af8">
    <w:name w:val="Unresolved Mention"/>
    <w:basedOn w:val="a0"/>
    <w:uiPriority w:val="99"/>
    <w:semiHidden/>
    <w:unhideWhenUsed/>
    <w:rsid w:val="0060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4C484-4DEB-46BB-8CC5-1CBCA17ACF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24</Pages>
  <Words>8163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89</cp:revision>
  <cp:lastPrinted>2019-11-12T06:20:00Z</cp:lastPrinted>
  <dcterms:created xsi:type="dcterms:W3CDTF">2019-11-11T10:28:00Z</dcterms:created>
  <dcterms:modified xsi:type="dcterms:W3CDTF">2024-05-18T13:59:00Z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